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Dekodierungskapazität von bis zu 32 Kanälen bei 1080p</w:t>
      </w:r>
    </w:p>
    <w:p>
      <w:pPr>
        <w:pStyle w:val="p2Style"/>
      </w:pPr>
      <w:r>
        <w:rPr>
          <w:rStyle w:val="textStyle"/>
        </w:rPr>
        <w:t xml:space="preserve">Eingangsbandbreite von bis zu 320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2026-05-19T11:38:03+00:00</dcterms:created>
  <dcterms:modified xsi:type="dcterms:W3CDTF">2026-05-19T11:38:03+00:00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