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Dekodierungskapazität von bis zu 32 Kanälen bei 1080p</w:t>
      </w:r>
    </w:p>
    <w:p>
      <w:pPr>
        <w:pStyle w:val="p2Style"/>
      </w:pPr>
      <w:r>
        <w:rPr>
          <w:rStyle w:val="textStyle"/>
        </w:rPr>
        <w:t xml:space="preserve">Eingangsbandbreite von bis zu 320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2026-07-03T13:39:28+00:00</dcterms:created>
  <dcterms:modified xsi:type="dcterms:W3CDTF">2026-07-03T13:39:28+00:00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