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DS-D5022F2-1V2S(O-STD)(European)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21,5-Zoll-VA-Display, 1920x1080 Auflösung, 178° Blickwinkel, 100Hz,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100-Hz-Bildwiederholfrequenz für flüssigere und naturgetreuere Videos</w:t>
      </w:r>
    </w:p>
    <w:p>
      <w:pPr>
        <w:pStyle w:val="p2Style"/>
      </w:pPr>
      <w:r>
        <w:rPr>
          <w:rStyle w:val="textStyle"/>
        </w:rPr>
        <w:t xml:space="preserve">Ultradünnes Gehäuse mit extrem schmalem Rahmen an drei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Blaulichtfilter zum Schutz der Augen</w:t>
      </w:r>
    </w:p>
    <w:p>
      <w:pPr>
        <w:pStyle w:val="p2Style"/>
      </w:pPr>
      <w:r>
        <w:rPr>
          <w:rStyle w:val="textStyle"/>
        </w:rPr>
        <w:t xml:space="preserve">Zahlreiche Anschlüsse, darunter VGA, HDMI, Audioausgang und integrierter Lautsprecher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6942160474311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2026-08-16T15:51:42+00:00</dcterms:created>
  <dcterms:modified xsi:type="dcterms:W3CDTF">2026-08-16T15:51:42+00:00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