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iDS-2CD7A46G2/P-IZHSY(2.8-12)(OSTD)BLACK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DeepinView, Darkfighter, IR,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150 dB AWDR-Technologie</w:t>
      </w:r>
    </w:p>
    <w:p>
      <w:pPr>
        <w:pStyle w:val="p2Style"/>
      </w:pPr>
      <w:r>
        <w:rPr>
          <w:rStyle w:val="textStyle"/>
        </w:rPr>
        <w:t xml:space="preserve">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2 MP bei 120 fps und 4 MP bei 60 fps</w:t>
      </w:r>
    </w:p>
    <w:p>
      <w:pPr>
        <w:pStyle w:val="p2Style"/>
      </w:pPr>
      <w:r>
        <w:rPr>
          <w:rStyle w:val="textStyle"/>
        </w:rPr>
        <w:t xml:space="preserve">Eingebaute Heizung für ein klares Bild bei Regen oder Schnee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Kennzeichenerkennung und Erkennung der Fahrzeugzuordnung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311335385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2026-08-07T13:29:56+00:00</dcterms:created>
  <dcterms:modified xsi:type="dcterms:W3CDTF">2026-08-07T13:29:56+00:00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