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DS-7604NXI-K1/VPro(STD)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AcuSeek- und AcuSearch-Funktion für bis zu 4 Kanäle</w:t>
      </w:r>
    </w:p>
    <w:p>
      <w:pPr>
        <w:pStyle w:val="p2Style"/>
      </w:pPr>
      <w:r>
        <w:rPr>
          <w:rStyle w:val="textStyle"/>
        </w:rPr>
        <w:t xml:space="preserve">Automatische Verbindung und Konfiguration von Kameras</w:t>
      </w:r>
    </w:p>
    <w:p>
      <w:pPr>
        <w:pStyle w:val="p2Style"/>
      </w:pPr>
      <w:r>
        <w:rPr>
          <w:rStyle w:val="textStyle"/>
        </w:rPr>
        <w:t xml:space="preserve">Bis zu 4-ch Netzwerkkamera Eingänge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6 Kanälen mit 8 MP oder 12 Kanälen mit 4 MP oder 24 Kanälen mit 1080p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Bis zu 40 MBit/s eingehende Bandbreite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Gesichtserkennung, Zonen-Überwachung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303624068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AcuSeek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2026-06-23T10:07:40+00:00</dcterms:created>
  <dcterms:modified xsi:type="dcterms:W3CDTF">2026-06-23T10:07:40+00:00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