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DS-2CD2023G2-LI2U(2.8mm)(O-STD)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2MP, 2,8mm,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Bildgebung mit einer Auflösung von 2 MP</w:t>
      </w:r>
    </w:p>
    <w:p>
      <w:pPr>
        <w:pStyle w:val="p2Style"/>
      </w:pPr>
      <w:r>
        <w:rPr>
          <w:rStyle w:val="textStyle"/>
        </w:rPr>
        <w:t xml:space="preserve">Acusense: Fokus auf 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Smart Hybrid Light: Integriert IR- und Weißlicht,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311326524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2026-08-08T03:51:40+00:00</dcterms:created>
  <dcterms:modified xsi:type="dcterms:W3CDTF">2026-08-08T03:51:40+00:00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