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BLZ-PRM-SU3-01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Aktiviert den Software-Update-Plan (SUP) für 1 IP-Kanal mit Premium-Lizenz, verlängert den Supportzeitraum für Software-Updates um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Der SUP-Lizenzschlüssel muss mit der Anzahl</w:t>
      </w:r>
    </w:p>
    <w:p>
      <w:pPr>
        <w:pStyle w:val="p2Style"/>
      </w:pPr>
      <w:r>
        <w:rPr>
          <w:rStyle w:val="textStyle"/>
        </w:rPr>
        <w:t xml:space="preserve">der Kanäle im bestehenden Premium-Lizenzschlüssel übereinstimmen</w:t>
      </w:r>
    </w:p>
    <w:p>
      <w:pPr>
        <w:pStyle w:val="p2Style"/>
      </w:pPr>
      <w:r>
        <w:rPr>
          <w:rStyle w:val="textStyle"/>
        </w:rPr>
        <w:t xml:space="preserve">Sie können auch nach Ablauf des SUP auf eine Softwareversion</w:t>
      </w:r>
    </w:p>
    <w:p>
      <w:pPr>
        <w:pStyle w:val="p2Style"/>
      </w:pPr>
      <w:r>
        <w:rPr>
          <w:rStyle w:val="textStyle"/>
        </w:rPr>
        <w:t xml:space="preserve">aktualisieren, die vor dem Ablaufdatum des SUP veröffentlicht wurde</w:t>
      </w:r>
    </w:p>
    <w:p>
      <w:pPr>
        <w:pStyle w:val="p2Style"/>
      </w:pPr>
      <w:r>
        <w:rPr>
          <w:rStyle w:val="textStyle"/>
        </w:rPr>
        <w:t xml:space="preserve">Eine Deaktivierung und erneute Aktivierung des Lizenzschlüssels</w:t>
      </w:r>
    </w:p>
    <w:p>
      <w:pPr>
        <w:pStyle w:val="p2Style"/>
      </w:pPr>
      <w:r>
        <w:rPr>
          <w:rStyle w:val="textStyle"/>
        </w:rPr>
        <w:t xml:space="preserve">hat keinen Einfluss auf das Enddatum des verlängerten Supports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BLZ-PRM-SU3-01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2026-09-23T05:20:19+00:00</dcterms:created>
  <dcterms:modified xsi:type="dcterms:W3CDTF">2026-09-23T05:20:19+00:00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