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FCB-334 AI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640x512, 6,3mm, 34,1° HFOV,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Branchenführende thermische Empfindlichkeit </w:t>
      </w:r>
    </w:p>
    <w:p>
      <w:pPr>
        <w:pStyle w:val="p2Style"/>
      </w:pPr>
      <w:r>
        <w:rPr>
          <w:rStyle w:val="textStyle"/>
        </w:rPr>
        <w:t xml:space="preserve">Analysen mittels tiefgreifender neuronaler Netze</w:t>
      </w:r>
    </w:p>
    <w:p>
      <w:pPr>
        <w:pStyle w:val="p2Style"/>
      </w:pPr>
      <w:r>
        <w:rPr>
          <w:rStyle w:val="textStyle"/>
        </w:rPr>
        <w:t xml:space="preserve">Fünf Varianten mit horizontalem FOV von 18° bis 50°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20mK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FCB-334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FCB-Serie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Netzgerät, IEEE 802.3at,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2026-06-14T12:42:07+00:00</dcterms:created>
  <dcterms:modified xsi:type="dcterms:W3CDTF">2026-06-14T12:42:07+00:00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