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5 MP (1/2,8-Zoll-Sensor)</w:t>
      </w:r>
    </w:p>
    <w:p>
      <w:pPr>
        <w:pStyle w:val="p2Style"/>
      </w:pPr>
      <w:r>
        <w:rPr>
          <w:rStyle w:val="textStyle"/>
        </w:rPr>
        <w:t xml:space="preserve">3,3–9,3 mm (2,8-fach)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Analytik-Ereignisse auf Basis der KI-Engine: Objekterkennung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CE,UKCA,FCC,UL,IK10,NEMA 4X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Gesichtserkennung (FR),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2026-09-11T10:23:21+00:00</dcterms:created>
  <dcterms:modified xsi:type="dcterms:W3CDTF">2026-09-11T10:23:21+00:00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