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XNV-A6084R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2,8-12,0mm,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2,8–12 mm (4,3-fach) motorisiertes Varioobjektiv</w:t>
      </w:r>
    </w:p>
    <w:p>
      <w:pPr>
        <w:pStyle w:val="p2Style"/>
      </w:pPr>
      <w:r>
        <w:rPr>
          <w:rStyle w:val="textStyle"/>
        </w:rPr>
        <w:t xml:space="preserve">Zwei NPUs für KI-basierte Bildverbesserung</w:t>
      </w:r>
    </w:p>
    <w:p>
      <w:pPr>
        <w:pStyle w:val="p2Style"/>
      </w:pPr>
      <w:r>
        <w:rPr>
          <w:rStyle w:val="textStyle"/>
        </w:rPr>
        <w:t xml:space="preserve">Analyseereignisse auf Basis der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IVA (virtuelle Linie/Bereich, Ein-/Ausgang,</w:t>
      </w:r>
    </w:p>
    <w:p>
      <w:pPr>
        <w:pStyle w:val="p2Style"/>
      </w:pPr>
      <w:r>
        <w:rPr>
          <w:rStyle w:val="textStyle"/>
        </w:rPr>
        <w:t xml:space="preserve">Herumlungern, Richtung, Eindringen),</w:t>
      </w:r>
    </w:p>
    <w:p>
      <w:pPr>
        <w:pStyle w:val="p2Style"/>
      </w:pPr>
      <w:r>
        <w:rPr>
          <w:rStyle w:val="textStyle"/>
        </w:rPr>
        <w:t xml:space="preserve">Sturz- und Rutscherkennung, Gesichtsmaskenerkennung,</w:t>
      </w:r>
    </w:p>
    <w:p>
      <w:pPr>
        <w:pStyle w:val="p2Style"/>
      </w:pPr>
      <w:r>
        <w:rPr>
          <w:rStyle w:val="textStyle"/>
        </w:rPr>
        <w:t xml:space="preserve">Erkennung von Abstandsregeln, Bewegungserkennung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WiseIR: IR-Sichtweite 50 m (131,23 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XNV-A6084R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2026-07-28T14:50:16+00:00</dcterms:created>
  <dcterms:modified xsi:type="dcterms:W3CDTF">2026-07-28T14:50:16+00:00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