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IVA (virtuelle Linie/Bereich, Ein-/Ausgang,</w:t>
      </w:r>
    </w:p>
    <w:p>
      <w:pPr>
        <w:pStyle w:val="p2Style"/>
      </w:pPr>
      <w:r>
        <w:rPr>
          <w:rStyle w:val="textStyle"/>
        </w:rPr>
        <w:t xml:space="preserve">Herumlungern, Richtung, Eindringen),</w:t>
      </w:r>
    </w:p>
    <w:p>
      <w:pPr>
        <w:pStyle w:val="p2Style"/>
      </w:pPr>
      <w:r>
        <w:rPr>
          <w:rStyle w:val="textStyle"/>
        </w:rPr>
        <w:t xml:space="preserve">Sturz- und Rutscherkennung, Gesichtsmaskenerkennung,</w:t>
      </w:r>
    </w:p>
    <w:p>
      <w:pPr>
        <w:pStyle w:val="p2Style"/>
      </w:pPr>
      <w:r>
        <w:rPr>
          <w:rStyle w:val="textStyle"/>
        </w:rPr>
        <w:t xml:space="preserve">Erkennung von Abstandsregeln, Bewegungserkennung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WiseIR: IR-Sichtweite 50 m (131,23 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2026-09-12T02:21:08+00:00</dcterms:created>
  <dcterms:modified xsi:type="dcterms:W3CDTF">2026-09-12T02:21:08+00:00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