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XND-A6084RV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2,8-12,0mm,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2,8–12 mm (4,3-fach) motorisiertes Varioobjektiv</w:t>
      </w:r>
    </w:p>
    <w:p>
      <w:pPr>
        <w:pStyle w:val="p2Style"/>
      </w:pPr>
      <w:r>
        <w:rPr>
          <w:rStyle w:val="textStyle"/>
        </w:rPr>
        <w:t xml:space="preserve">Zwei NPUs für KI-basierte Bildverbesserung</w:t>
      </w:r>
    </w:p>
    <w:p>
      <w:pPr>
        <w:pStyle w:val="p2Style"/>
      </w:pPr>
      <w:r>
        <w:rPr>
          <w:rStyle w:val="textStyle"/>
        </w:rPr>
        <w:t xml:space="preserve">Analyseereignisse auf Basis der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WiseIR: IR-Sichtweite 40 m (131,23 ft)</w:t>
      </w:r>
    </w:p>
    <w:p>
      <w:pPr>
        <w:pStyle w:val="p2Style"/>
      </w:pPr>
      <w:r>
        <w:rPr>
          <w:rStyle w:val="textStyle"/>
        </w:rPr>
        <w:t xml:space="preserve">IP52,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 (FR), Heat Map (HM), Kennzeichenerkennung, Objektklassifizierung,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XND-A6084RV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2026-07-27T05:16:38+00:00</dcterms:created>
  <dcterms:modified xsi:type="dcterms:W3CDTF">2026-07-27T05:16:38+00:00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