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XND-A6084RV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2,8-12,0mm,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2,8–12 mm (4,3-fach) motorisiertes Varioobjektiv</w:t>
      </w:r>
    </w:p>
    <w:p>
      <w:pPr>
        <w:pStyle w:val="p2Style"/>
      </w:pPr>
      <w:r>
        <w:rPr>
          <w:rStyle w:val="textStyle"/>
        </w:rPr>
        <w:t xml:space="preserve">Zwei NPUs für KI-basierte Bildverbesserung</w:t>
      </w:r>
    </w:p>
    <w:p>
      <w:pPr>
        <w:pStyle w:val="p2Style"/>
      </w:pPr>
      <w:r>
        <w:rPr>
          <w:rStyle w:val="textStyle"/>
        </w:rPr>
        <w:t xml:space="preserve">Analyseereignisse auf Basis der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WiseIR: IR-Sichtweite 40 m (131,23 ft)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CE,UKCA,FCC,UL,IEC,RoHS,REACH,IK10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 (FR), Heat Map (HM), Kennzeichenerkennung, Objektklassifizierung,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XND-A6084RV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2026-10-25T17:59:33+00:00</dcterms:created>
  <dcterms:modified xsi:type="dcterms:W3CDTF">2026-10-25T17:59:33+00:00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