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IQbox-maxi-C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500x400x210mm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Halogenfrei (DIN/VDE 0472, Teil 815): Ja</w:t>
      </w:r>
    </w:p>
    <w:p>
      <w:pPr>
        <w:pStyle w:val="p2Style"/>
      </w:pPr>
      <w:r>
        <w:rPr>
          <w:rStyle w:val="textStyle"/>
        </w:rPr>
        <w:t xml:space="preserve">Tür mit PUR-Dichtung, Scharnier auf Längsseite</w:t>
      </w:r>
    </w:p>
    <w:p>
      <w:pPr>
        <w:pStyle w:val="p2Style"/>
      </w:pPr>
      <w:r>
        <w:rPr>
          <w:rStyle w:val="textStyle"/>
        </w:rPr>
        <w:t xml:space="preserve">2-Punkt-Schließung Doppelbart</w:t>
      </w:r>
    </w:p>
    <w:p>
      <w:pPr>
        <w:pStyle w:val="p2Style"/>
      </w:pPr>
      <w:r>
        <w:rPr>
          <w:rStyle w:val="textStyle"/>
        </w:rPr>
        <w:t xml:space="preserve">optional mit Schwenkhebel für PHZ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Mit Sabotagekontakt, inkl. Anschluss-Terminal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IQbox-maxi-C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40cm Set (2St.) für SOL-IQbox maxi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2026-09-10T14:10:11+00:00</dcterms:created>
  <dcterms:modified xsi:type="dcterms:W3CDTF">2026-09-10T14:10:11+00:00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