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DS-2CD3146G2-IMS(2.8mm)(O-STD)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2,8mm, IR, AcuSense, HDMI Ausgang,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Bildgebung bei starkem Gegenlicht dank 120 dB WDR-Technologie</w:t>
      </w:r>
    </w:p>
    <w:p>
      <w:pPr>
        <w:pStyle w:val="p2Style"/>
      </w:pPr>
      <w:r>
        <w:rPr>
          <w:rStyle w:val="textStyle"/>
        </w:rPr>
        <w:t xml:space="preserve">Direkte HD-Live-Ansicht mit HDMI-Ausgang</w:t>
      </w:r>
    </w:p>
    <w:p>
      <w:pPr>
        <w:pStyle w:val="p2Style"/>
      </w:pPr>
      <w:r>
        <w:rPr>
          <w:rStyle w:val="textStyle"/>
        </w:rPr>
        <w:t xml:space="preserve">Robuste Konstruktion mit Vollmetallmaterialien</w:t>
      </w:r>
    </w:p>
    <w:p>
      <w:pPr>
        <w:pStyle w:val="p2Style"/>
      </w:pPr>
      <w:r>
        <w:rPr>
          <w:rStyle w:val="textStyle"/>
        </w:rPr>
        <w:t xml:space="preserve">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6942160472386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2026-07-21T08:42:17+00:00</dcterms:created>
  <dcterms:modified xsi:type="dcterms:W3CDTF">2026-07-21T08:42:17+00:00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