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DS-2CD3186G2-IMS(2.8mm)(O-STD)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IR, AcuSense, HDMI Ausgang,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Bildgebung bei starkem Gegenlicht dank 130 dB WDR-Technologie</w:t>
      </w:r>
    </w:p>
    <w:p>
      <w:pPr>
        <w:pStyle w:val="p2Style"/>
      </w:pPr>
      <w:r>
        <w:rPr>
          <w:rStyle w:val="textStyle"/>
        </w:rPr>
        <w:t xml:space="preserve">Direkte HD-Live-Ansicht mit HDMI-Ausgang</w:t>
      </w:r>
    </w:p>
    <w:p>
      <w:pPr>
        <w:pStyle w:val="p2Style"/>
      </w:pPr>
      <w:r>
        <w:rPr>
          <w:rStyle w:val="textStyle"/>
        </w:rPr>
        <w:t xml:space="preserve">Robuste Konstruktion mit Vollmetallmaterialien</w:t>
      </w:r>
    </w:p>
    <w:p>
      <w:pPr>
        <w:pStyle w:val="p2Style"/>
      </w:pPr>
      <w:r>
        <w:rPr>
          <w:rStyle w:val="textStyle"/>
        </w:rPr>
        <w:t xml:space="preserve">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6942160472362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