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Flush Mount Box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2 Einzelmodule (abgesetzt) oder 1 Basiseinheit</w:t>
      </w:r>
    </w:p>
    <w:p>
      <w:pPr>
        <w:pStyle w:val="p2Style"/>
      </w:pPr>
      <w:r>
        <w:rPr>
          <w:rStyle w:val="textStyle"/>
        </w:rPr>
        <w:t xml:space="preserve">Benötigt Frontblende 9155012, oder 9155012B (schwarz)</w:t>
      </w:r>
    </w:p>
    <w:p>
      <w:pPr>
        <w:pStyle w:val="p2Style"/>
      </w:pPr>
      <w:r>
        <w:rPr>
          <w:rStyle w:val="textStyle"/>
        </w:rPr>
        <w:t xml:space="preserve">Abmessung: 108x238x45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2026-06-16T20:48:02+00:00</dcterms:created>
  <dcterms:modified xsi:type="dcterms:W3CDTF">2026-06-16T20:48:02+00:00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