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iDS-7232HQHI-M2/XT(STD)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32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Kanäle 1U AcuSense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Kodierungsfähigkeit bis zu 4K/8 MP bei 8 fps; 3K/5 MP bei 12 fps</w:t>
      </w:r>
    </w:p>
    <w:p>
      <w:pPr>
        <w:pStyle w:val="p2Style"/>
      </w:pPr>
      <w:r>
        <w:rPr>
          <w:rStyle w:val="textStyle"/>
        </w:rPr>
        <w:t xml:space="preserve">Bis zu 40 Kanäle für IP-Kameraeingänge, jeder Kanal bis zu 6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6942160459516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