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DS-2CD3686G2T-IZSY(2.7-13.5mm)(H)eFO-STD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2,7-13,5mm, DarkFighter, AcuSense,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Hikvision Embedded Open Platform (HEOP) und den Import von Drittanbieteranwendungen</w:t>
      </w:r>
    </w:p>
    <w:p>
      <w:pPr>
        <w:pStyle w:val="p2Style"/>
      </w:pPr>
      <w:r>
        <w:rPr>
          <w:rStyle w:val="textStyle"/>
        </w:rPr>
        <w:t xml:space="preserve">Unterstützt 1,5 Tops Rechenleistung, 40 MB Systemspeicher, 350 MB Smart RAM und 2 GB eMMC-Speicher zur gemeinsamen Nutzung von Ressourcen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Powered 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3D-DNR Technologie liefert klare und scharfe Bilder</w:t>
      </w:r>
    </w:p>
    <w:p>
      <w:pPr>
        <w:pStyle w:val="p2Style"/>
      </w:pPr>
      <w:r>
        <w:rPr>
          <w:rStyle w:val="textStyle"/>
        </w:rPr>
        <w:t xml:space="preserve">Motorisiertes Varioobjektiv für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6942160410494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2026-09-23T02:20:15+00:00</dcterms:created>
  <dcterms:modified xsi:type="dcterms:W3CDTF">2026-09-23T02:20:15+00:00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