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S8SP0303-002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E5004-1+1SFE Video Appliance mit 1x Symphony Standard Lizenz + 1x Symphony Sensor Fusion Analytics Lizenz, 1x Senstar Network Manager, PSA-Lüfterlos, Wi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 Symphony Common Operating Plattform</w:t>
      </w:r>
    </w:p>
    <w:p>
      <w:pPr>
        <w:pStyle w:val="p2Style"/>
      </w:pPr>
      <w:r>
        <w:rPr>
          <w:rStyle w:val="textStyle"/>
        </w:rPr>
        <w:t xml:space="preserve">Lüfterlose PSA mit 1 Sensor Fusion Engine-Lizenz</w:t>
      </w:r>
    </w:p>
    <w:p>
      <w:pPr>
        <w:pStyle w:val="p2Style"/>
      </w:pPr>
      <w:r>
        <w:rPr>
          <w:rStyle w:val="textStyle"/>
        </w:rPr>
        <w:t xml:space="preserve">4 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E5004-8A PSA. Verlängert die Hardwaregarantie &amp; Software M&amp;S um 2 weitere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E5004-16A PSA. Verlängert die Hardwaregarantie &amp; Software M&amp;S um 2 weitere 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S8SW2061-XXY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Videoanalyse zur Automatischen Kennzeichenerken nung, (bis zu 4 Kameras)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S8SW2081-XXY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Face Recognition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2026-06-19T11:12:17+00:00</dcterms:created>
  <dcterms:modified xsi:type="dcterms:W3CDTF">2026-06-19T11:12:17+00:00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