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IPS Technologie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Höhen-, Neigungs- und Drehverstellungen</w:t>
      </w:r>
    </w:p>
    <w:p>
      <w:pPr>
        <w:pStyle w:val="p2Style"/>
      </w:pPr>
      <w:r>
        <w:rPr>
          <w:rStyle w:val="textStyle"/>
        </w:rPr>
        <w:t xml:space="preserve">Ultra-Slim Border Design</w:t>
      </w:r>
    </w:p>
    <w:p>
      <w:pPr>
        <w:pStyle w:val="p2Style"/>
      </w:pPr>
      <w:r>
        <w:rPr>
          <w:rStyle w:val="textStyle"/>
        </w:rPr>
        <w:t xml:space="preserve">120Hz Bildwiederholfrequenz</w:t>
      </w:r>
    </w:p>
    <w:p>
      <w:pPr>
        <w:pStyle w:val="p2Style"/>
      </w:pPr>
      <w:r>
        <w:rPr>
          <w:rStyle w:val="textStyle"/>
        </w:rPr>
        <w:t xml:space="preserve">Augenkomfort-Technologie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2W-Lautsprecher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2026-10-29T03:20:38+00:00</dcterms:created>
  <dcterms:modified xsi:type="dcterms:W3CDTF">2026-10-29T03:20:38+00:00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