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TX1201 CBL GLD 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 d-zertifiziert für Zone 1, 2, 21 und 22</w:t>
      </w:r>
    </w:p>
    <w:p>
      <w:pPr>
        <w:pStyle w:val="p2Style"/>
      </w:pPr>
      <w:r>
        <w:rPr>
          <w:rStyle w:val="textStyle"/>
        </w:rPr>
        <w:t xml:space="preserve">Zertifiziert gemäß ATEX, IECEx, INMETRO, PESO und KCs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Gemäß 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2026-09-13T09:42:15+00:00</dcterms:created>
  <dcterms:modified xsi:type="dcterms:W3CDTF">2026-09-13T09:42:15+00:00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