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DS-2CD2046G3-IZ2UY/SL(2.8/4mm)(O-STD)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4MP, Acusense, Mic, IR,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2,8/4 mm in einer Linse, Punkt-Variofokus</w:t>
      </w:r>
    </w:p>
    <w:p>
      <w:pPr>
        <w:pStyle w:val="p2Style"/>
      </w:pPr>
      <w:r>
        <w:rPr>
          <w:rStyle w:val="textStyle"/>
        </w:rPr>
        <w:t xml:space="preserve">Aktives Stroboskoplicht und akustischer Alarm</w:t>
      </w:r>
    </w:p>
    <w:p>
      <w:pPr>
        <w:pStyle w:val="p2Style"/>
      </w:pPr>
      <w:r>
        <w:rPr>
          <w:rStyle w:val="textStyle"/>
        </w:rPr>
        <w:t xml:space="preserve">Korrosionsbeständiges Design (NEMA 4X)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Kristallklarer Ton dank Arrayed Dual-Mic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6936422163006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311332058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2026-10-19T12:35:53+00:00</dcterms:created>
  <dcterms:modified xsi:type="dcterms:W3CDTF">2026-10-19T12:35:53+00:00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