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iDS-7716NXI-P4/16P(STD)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DeepinMind Pro, AcuSeek, AcuSearch, Guanlan KI-Analyse, H.265+,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H.265+/H.265/H.264+/H.264</w:t>
      </w:r>
    </w:p>
    <w:p>
      <w:pPr>
        <w:pStyle w:val="p2Style"/>
      </w:pPr>
      <w:r>
        <w:rPr>
          <w:rStyle w:val="textStyle"/>
        </w:rPr>
        <w:t xml:space="preserve">Intelligente Analytik auf der Grundlage von Guanlan Large-Scale AI Models</w:t>
      </w:r>
    </w:p>
    <w:p>
      <w:pPr>
        <w:pStyle w:val="p2Style"/>
      </w:pPr>
      <w:r>
        <w:rPr>
          <w:rStyle w:val="textStyle"/>
        </w:rPr>
        <w:t xml:space="preserve">Bis zu 16-Kanal-IP-Kameras können angeschlossen werden</w:t>
      </w:r>
    </w:p>
    <w:p>
      <w:pPr>
        <w:pStyle w:val="p2Style"/>
      </w:pPr>
      <w:r>
        <w:rPr>
          <w:rStyle w:val="textStyle"/>
        </w:rPr>
        <w:t xml:space="preserve">Bis zu 16-Kanal AcuSeek und AcuSearch Funktion</w:t>
      </w:r>
    </w:p>
    <w:p>
      <w:pPr>
        <w:pStyle w:val="p2Style"/>
      </w:pPr>
      <w:r>
        <w:rPr>
          <w:rStyle w:val="textStyle"/>
        </w:rPr>
        <w:t xml:space="preserve">Bis zu 16-Kanal Perimeterschutz</w:t>
      </w:r>
    </w:p>
    <w:p>
      <w:pPr>
        <w:pStyle w:val="p2Style"/>
      </w:pPr>
      <w:r>
        <w:rPr>
          <w:rStyle w:val="textStyle"/>
        </w:rPr>
        <w:t xml:space="preserve">Bis zu 16-Kanal-Gesichtserkennung für Videostream, oder bis zu 16-Kanal-Gesichtserkennung für Gesichtsbild</w:t>
      </w:r>
    </w:p>
    <w:p>
      <w:pPr>
        <w:pStyle w:val="p2Style"/>
      </w:pPr>
      <w:r>
        <w:rPr>
          <w:rStyle w:val="textStyle"/>
        </w:rPr>
        <w:t xml:space="preserve">Bis zu 16-Kanal-Video-Strukturierung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512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6942640541915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345600010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DeepinMind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2026-10-21T02:30:52+00:00</dcterms:created>
  <dcterms:modified xsi:type="dcterms:W3CDTF">2026-10-21T02:30:52+00:00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