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Araani Thermo Guard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Araani Thermo Guard Fire and Hot Spot monitoring Lizenz pro Kamera, unbefristet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Lifetime Lizenz für 1 ACAP-fähige Axis-Kamera</w:t>
      </w:r>
    </w:p>
    <w:p>
      <w:pPr>
        <w:pStyle w:val="p2Style"/>
      </w:pPr>
      <w:r>
        <w:rPr>
          <w:rStyle w:val="textStyle"/>
        </w:rPr>
        <w:t xml:space="preserve">Limits für Hotspot-Temp. und Anstiegsgeschwindigkeit</w:t>
      </w:r>
    </w:p>
    <w:p>
      <w:pPr>
        <w:pStyle w:val="p2Style"/>
      </w:pPr>
      <w:r>
        <w:rPr>
          <w:rStyle w:val="textStyle"/>
        </w:rPr>
        <w:t xml:space="preserve">Flammenüberwachung</w:t>
      </w:r>
    </w:p>
    <w:p>
      <w:pPr>
        <w:pStyle w:val="p2Style"/>
      </w:pPr>
      <w:r>
        <w:rPr>
          <w:rStyle w:val="textStyle"/>
        </w:rPr>
        <w:t xml:space="preserve">Konfigurierbare Erkennungszonen</w:t>
      </w:r>
    </w:p>
    <w:p>
      <w:pPr>
        <w:pStyle w:val="p2Style"/>
      </w:pPr>
      <w:r>
        <w:rPr>
          <w:rStyle w:val="textStyle"/>
        </w:rPr>
        <w:t xml:space="preserve">Konfigurierbare Alarmlogik</w:t>
      </w:r>
    </w:p>
    <w:p>
      <w:pPr>
        <w:pStyle w:val="p2Style"/>
      </w:pPr>
      <w:r>
        <w:rPr>
          <w:rStyle w:val="textStyle"/>
        </w:rPr>
        <w:t xml:space="preserve">Aktivieren/Unterdrücken von beweglichen Wärmequellen</w:t>
      </w:r>
    </w:p>
    <w:p>
      <w:pPr>
        <w:pStyle w:val="p2Style"/>
      </w:pPr>
      <w:r>
        <w:rPr>
          <w:rStyle w:val="textStyle"/>
        </w:rPr>
        <w:t xml:space="preserve">Einfache Integration in gängige VMS-Plattformen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 Map (HM), Temperatur-Ausnahmealarm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Thermo Guard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Araani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2026-09-27T07:31:46+00:00</dcterms:created>
  <dcterms:modified xsi:type="dcterms:W3CDTF">2026-09-27T07:31:46+00:00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