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zur Drahtlos Übertragung an ein Hörgerät, für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Lautstärke einstellbar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textStyle"/>
        </w:rPr>
        <w:t xml:space="preserve">Externe Antenne als Zubehör erhältlich</w:t>
      </w:r>
    </w:p>
    <w:p>
      <w:pPr>
        <w:pStyle w:val="p2Style"/>
      </w:pPr>
      <w:r>
        <w:rPr>
          <w:rStyle w:val="textStyle"/>
        </w:rPr>
        <w:t xml:space="preserve">Einfache Montage an der Wand</w:t>
      </w:r>
    </w:p>
    <w:p>
      <w:pPr>
        <w:pStyle w:val="p2Style"/>
      </w:pPr>
      <w:r>
        <w:rPr>
          <w:rStyle w:val="textStyle"/>
        </w:rPr>
        <w:t xml:space="preserve">Für Außenanwendung geeignet (IP65)</w:t>
      </w:r>
    </w:p>
    <w:p>
      <w:pPr>
        <w:pStyle w:val="p2Style"/>
      </w:pPr>
      <w:r>
        <w:rPr>
          <w:rStyle w:val="textStyle"/>
        </w:rPr>
        <w:t xml:space="preserve">IEC 60118-4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2026-09-15T04:25:28+00:00</dcterms:created>
  <dcterms:modified xsi:type="dcterms:W3CDTF">2026-09-15T04:25:28+00:00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