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Additional switch + tampe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 und Schaltkontaktausgang für 2N IP Force und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die Bedienung eines Zweitgeräts</w:t>
      </w:r>
    </w:p>
    <w:p>
      <w:pPr>
        <w:pStyle w:val="p2Style"/>
      </w:pPr>
      <w:r>
        <w:rPr>
          <w:rStyle w:val="textStyle"/>
        </w:rPr>
        <w:t xml:space="preserve">Passives Schalten mit 48V/2A</w:t>
      </w:r>
    </w:p>
    <w:p>
      <w:pPr>
        <w:pStyle w:val="p2Style"/>
      </w:pPr>
      <w:r>
        <w:rPr>
          <w:rStyle w:val="textStyle"/>
        </w:rPr>
        <w:t xml:space="preserve">Aktives Schalten mit 12V/700mA</w:t>
      </w:r>
    </w:p>
    <w:p>
      <w:pPr>
        <w:pStyle w:val="p2Style"/>
      </w:pPr>
      <w:r>
        <w:rPr>
          <w:rStyle w:val="textStyle"/>
        </w:rPr>
        <w:t xml:space="preserve">Sabotagekontakt für Frontplattenöffnung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2026-07-15T16:16:19+00:00</dcterms:created>
  <dcterms:modified xsi:type="dcterms:W3CDTF">2026-07-15T16:16:19+00:00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