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Additional switch + tampe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 und Schaltkontaktausgang für 2N IP Force und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die Bedienung eines Zweitgeräts</w:t>
      </w:r>
    </w:p>
    <w:p>
      <w:pPr>
        <w:pStyle w:val="p2Style"/>
      </w:pPr>
      <w:r>
        <w:rPr>
          <w:rStyle w:val="textStyle"/>
        </w:rPr>
        <w:t xml:space="preserve">Passives Schalten mit 48V/2A</w:t>
      </w:r>
    </w:p>
    <w:p>
      <w:pPr>
        <w:pStyle w:val="p2Style"/>
      </w:pPr>
      <w:r>
        <w:rPr>
          <w:rStyle w:val="textStyle"/>
        </w:rPr>
        <w:t xml:space="preserve">Aktives Schalten mit 12V/700mA</w:t>
      </w:r>
    </w:p>
    <w:p>
      <w:pPr>
        <w:pStyle w:val="p2Style"/>
      </w:pPr>
      <w:r>
        <w:rPr>
          <w:rStyle w:val="textStyle"/>
        </w:rPr>
        <w:t xml:space="preserve">Sabotagekontakt für Frontplattenöffnung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2026-05-31T13:24:43+00:00</dcterms:created>
  <dcterms:modified xsi:type="dcterms:W3CDTF">2026-05-31T13:24:43+00:00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