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Araani Fire Guard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Araani Fire Guard Smoke and Flame monitoring Lizenz pro Kamera, unbefristet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Lifetime-Lizenz für 1 ACAP-fähige Axis-Kamera</w:t>
      </w:r>
    </w:p>
    <w:p>
      <w:pPr>
        <w:pStyle w:val="p2Style"/>
      </w:pPr>
      <w:r>
        <w:rPr>
          <w:rStyle w:val="textStyle"/>
        </w:rPr>
        <w:t xml:space="preserve">Flammenerkennung</w:t>
      </w:r>
    </w:p>
    <w:p>
      <w:pPr>
        <w:pStyle w:val="p2Style"/>
      </w:pPr>
      <w:r>
        <w:rPr>
          <w:rStyle w:val="textStyle"/>
        </w:rPr>
        <w:t xml:space="preserve">Raucherkennung</w:t>
      </w:r>
    </w:p>
    <w:p>
      <w:pPr>
        <w:pStyle w:val="p2Style"/>
      </w:pPr>
      <w:r>
        <w:rPr>
          <w:rStyle w:val="textStyle"/>
        </w:rPr>
        <w:t xml:space="preserve">Konfigurierbare Empfindlichkeit</w:t>
      </w:r>
    </w:p>
    <w:p>
      <w:pPr>
        <w:pStyle w:val="p2Style"/>
      </w:pPr>
      <w:r>
        <w:rPr>
          <w:rStyle w:val="textStyle"/>
        </w:rPr>
        <w:t xml:space="preserve">Konfigurierbare Erkennungszonen</w:t>
      </w:r>
    </w:p>
    <w:p>
      <w:pPr>
        <w:pStyle w:val="p2Style"/>
      </w:pPr>
      <w:r>
        <w:rPr>
          <w:rStyle w:val="textStyle"/>
        </w:rPr>
        <w:t xml:space="preserve">Metadaten-Overlay</w:t>
      </w:r>
    </w:p>
    <w:p>
      <w:pPr>
        <w:pStyle w:val="p2Style"/>
      </w:pPr>
      <w:r>
        <w:rPr>
          <w:rStyle w:val="textStyle"/>
        </w:rPr>
        <w:t xml:space="preserve">Alarmereignissteuerung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Feuermelder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Fire Guard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Araani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2026-09-27T07:31:14+00:00</dcterms:created>
  <dcterms:modified xsi:type="dcterms:W3CDTF">2026-09-27T07:31:14+00:00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