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Fire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Fire Guard Smoke and Flame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Lifetime-Lizenz für 1 ACAP-fähige Axis-Kamera</w:t>
      </w:r>
    </w:p>
    <w:p>
      <w:pPr>
        <w:pStyle w:val="p2Style"/>
      </w:pPr>
      <w:r>
        <w:rPr>
          <w:rStyle w:val="textStyle"/>
        </w:rPr>
        <w:t xml:space="preserve">Flammenerkennung</w:t>
      </w:r>
    </w:p>
    <w:p>
      <w:pPr>
        <w:pStyle w:val="p2Style"/>
      </w:pPr>
      <w:r>
        <w:rPr>
          <w:rStyle w:val="textStyle"/>
        </w:rPr>
        <w:t xml:space="preserve">Raucherkennung</w:t>
      </w:r>
    </w:p>
    <w:p>
      <w:pPr>
        <w:pStyle w:val="p2Style"/>
      </w:pPr>
      <w:r>
        <w:rPr>
          <w:rStyle w:val="textStyle"/>
        </w:rPr>
        <w:t xml:space="preserve">Konfigurierbare Empfindlichkeit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Metadaten-Overlay</w:t>
      </w:r>
    </w:p>
    <w:p>
      <w:pPr>
        <w:pStyle w:val="p2Style"/>
      </w:pPr>
      <w:r>
        <w:rPr>
          <w:rStyle w:val="textStyle"/>
        </w:rPr>
        <w:t xml:space="preserve">Alarmereignissteuerung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Feuermelder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2026-05-14T18:27:42+00:00</dcterms:created>
  <dcterms:modified xsi:type="dcterms:W3CDTF">2026-05-14T18:27:42+00:00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