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Araani Fire Guard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Araani Fire Guard Smoke and Flame monitoring Lizenz pro Kamera, unbefristet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Lifetime-Lizenz für 1 ACAP-fähige Axis-Kamera</w:t>
      </w:r>
    </w:p>
    <w:p>
      <w:pPr>
        <w:pStyle w:val="p2Style"/>
      </w:pPr>
      <w:r>
        <w:rPr>
          <w:rStyle w:val="textStyle"/>
        </w:rPr>
        <w:t xml:space="preserve">Flammenerkennung</w:t>
      </w:r>
    </w:p>
    <w:p>
      <w:pPr>
        <w:pStyle w:val="p2Style"/>
      </w:pPr>
      <w:r>
        <w:rPr>
          <w:rStyle w:val="textStyle"/>
        </w:rPr>
        <w:t xml:space="preserve">Raucherkennung</w:t>
      </w:r>
    </w:p>
    <w:p>
      <w:pPr>
        <w:pStyle w:val="p2Style"/>
      </w:pPr>
      <w:r>
        <w:rPr>
          <w:rStyle w:val="textStyle"/>
        </w:rPr>
        <w:t xml:space="preserve">Konfigurierbare Empfindlichkeit</w:t>
      </w:r>
    </w:p>
    <w:p>
      <w:pPr>
        <w:pStyle w:val="p2Style"/>
      </w:pPr>
      <w:r>
        <w:rPr>
          <w:rStyle w:val="textStyle"/>
        </w:rPr>
        <w:t xml:space="preserve">Konfigurierbare Erkennungszonen</w:t>
      </w:r>
    </w:p>
    <w:p>
      <w:pPr>
        <w:pStyle w:val="p2Style"/>
      </w:pPr>
      <w:r>
        <w:rPr>
          <w:rStyle w:val="textStyle"/>
        </w:rPr>
        <w:t xml:space="preserve">Metadaten-Overlay</w:t>
      </w:r>
    </w:p>
    <w:p>
      <w:pPr>
        <w:pStyle w:val="p2Style"/>
      </w:pPr>
      <w:r>
        <w:rPr>
          <w:rStyle w:val="textStyle"/>
        </w:rPr>
        <w:t xml:space="preserve">Alarmereignissteuerung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Feuermelder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Fire Guard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Araani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2026-06-28T20:12:56+00:00</dcterms:created>
  <dcterms:modified xsi:type="dcterms:W3CDTF">2026-06-28T20:12:56+00:00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