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Fire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Fire Guard Smoke and Flame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Lifetime-Lizenz für 1 ACAP-fähige Axis-Kamera</w:t>
      </w:r>
    </w:p>
    <w:p>
      <w:pPr>
        <w:pStyle w:val="p2Style"/>
      </w:pPr>
      <w:r>
        <w:rPr>
          <w:rStyle w:val="textStyle"/>
        </w:rPr>
        <w:t xml:space="preserve">Flammenerkennung</w:t>
      </w:r>
    </w:p>
    <w:p>
      <w:pPr>
        <w:pStyle w:val="p2Style"/>
      </w:pPr>
      <w:r>
        <w:rPr>
          <w:rStyle w:val="textStyle"/>
        </w:rPr>
        <w:t xml:space="preserve">Raucherkennung</w:t>
      </w:r>
    </w:p>
    <w:p>
      <w:pPr>
        <w:pStyle w:val="p2Style"/>
      </w:pPr>
      <w:r>
        <w:rPr>
          <w:rStyle w:val="textStyle"/>
        </w:rPr>
        <w:t xml:space="preserve">Konfigurierbare Empfindlichkeit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Metadaten-Overlay</w:t>
      </w:r>
    </w:p>
    <w:p>
      <w:pPr>
        <w:pStyle w:val="p2Style"/>
      </w:pPr>
      <w:r>
        <w:rPr>
          <w:rStyle w:val="textStyle"/>
        </w:rPr>
        <w:t xml:space="preserve">Alarmereignissteuerung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Feuermelder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