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BP Jeweller (ohne Gehäuse)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 ohne Gehäuse, 100 Geräte, 50 Benutzer, 32 Szenarien, 50 Räume, 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Installation in Ajax Case-Gehäuse</w:t>
      </w:r>
    </w:p>
    <w:p>
      <w:pPr>
        <w:pStyle w:val="p2Style"/>
      </w:pPr>
      <w:r>
        <w:rPr>
          <w:rStyle w:val="textStyle"/>
        </w:rPr>
        <w:t xml:space="preserve">eingebauter Sabotagekontakt</w:t>
      </w:r>
    </w:p>
    <w:p>
      <w:pPr>
        <w:pStyle w:val="p2Style"/>
      </w:pPr>
      <w:r>
        <w:rPr>
          <w:rStyle w:val="textStyle"/>
        </w:rPr>
        <w:t xml:space="preserve">Lieferung mit einer externen LED-Platine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4823114080234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147147.312.NC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2026-11-07T05:05:09+00:00</dcterms:created>
  <dcterms:modified xsi:type="dcterms:W3CDTF">2026-11-07T05:05:09+00:00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