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(ohne Gehäuse)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 ohne Gehäuse, 100 Geräte, 50 Benutzer, 32 Szenarien, 50 Räume,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Installation in Ajax Case-Gehäuse</w:t>
      </w:r>
    </w:p>
    <w:p>
      <w:pPr>
        <w:pStyle w:val="p2Style"/>
      </w:pPr>
      <w:r>
        <w:rPr>
          <w:rStyle w:val="textStyle"/>
        </w:rPr>
        <w:t xml:space="preserve">eingebauter Sabotagekontakt</w:t>
      </w:r>
    </w:p>
    <w:p>
      <w:pPr>
        <w:pStyle w:val="p2Style"/>
      </w:pPr>
      <w:r>
        <w:rPr>
          <w:rStyle w:val="textStyle"/>
        </w:rPr>
        <w:t xml:space="preserve">Lieferung mit einer externen LED-Platine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147147.312.NC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2026-09-23T00:30:42+00:00</dcterms:created>
  <dcterms:modified xsi:type="dcterms:W3CDTF">2026-09-23T00:30:42+00:00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