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 ohne Gehäuse, 100 Geräte, 50 Benutzer, 32 Szenarien, 50 Räume,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in Ajax Case-Gehäuse</w:t>
      </w:r>
    </w:p>
    <w:p>
      <w:pPr>
        <w:pStyle w:val="p2Style"/>
      </w:pPr>
      <w:r>
        <w:rPr>
          <w:rStyle w:val="textStyle"/>
        </w:rPr>
        <w:t xml:space="preserve">eingebauter Sabotagekontakt</w:t>
      </w:r>
    </w:p>
    <w:p>
      <w:pPr>
        <w:pStyle w:val="p2Style"/>
      </w:pPr>
      <w:r>
        <w:rPr>
          <w:rStyle w:val="textStyle"/>
        </w:rPr>
        <w:t xml:space="preserve">Lieferung mit einer externen LED-Platine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147147.312.NC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2026-08-08T21:30:25+00:00</dcterms:created>
  <dcterms:modified xsi:type="dcterms:W3CDTF">2026-08-08T21:30:25+00:00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