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S9301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Dual Monitor 4K UHD,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und kompakte Lösung</w:t>
      </w:r>
    </w:p>
    <w:p>
      <w:pPr>
        <w:pStyle w:val="p2Style"/>
      </w:pPr>
      <w:r>
        <w:rPr>
          <w:rStyle w:val="textStyle"/>
        </w:rPr>
        <w:t xml:space="preserve">Unterstützt bis zu zwei 4K-Monitore</w:t>
      </w:r>
    </w:p>
    <w:p>
      <w:pPr>
        <w:pStyle w:val="p2Style"/>
      </w:pPr>
      <w:r>
        <w:rPr>
          <w:rStyle w:val="textStyle"/>
        </w:rPr>
        <w:t xml:space="preserve">Clientsoftware AXIS Camera Station Pro im Lieferumfang enthalten</w:t>
      </w:r>
    </w:p>
    <w:p>
      <w:pPr>
        <w:pStyle w:val="p2Style"/>
      </w:pPr>
      <w:r>
        <w:rPr>
          <w:rStyle w:val="textStyle"/>
        </w:rPr>
        <w:t xml:space="preserve">10 AXIS Audio Manager Pro-Lizenzen enthalten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2026-08-16T03:23:40+00:00</dcterms:created>
  <dcterms:modified xsi:type="dcterms:W3CDTF">2026-08-16T03:23:40+00:00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