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DS-D5027F3-2P2(O-STD)(EU)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IPS, 1920x1080, 100 Hz, HDMI, VGA,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IPS-Technologie, 178°-Ultra-Weitwinkelbildschirm</w:t>
      </w:r>
    </w:p>
    <w:p>
      <w:pPr>
        <w:pStyle w:val="p2Style"/>
      </w:pPr>
      <w:r>
        <w:rPr>
          <w:rStyle w:val="textStyle"/>
        </w:rPr>
        <w:t xml:space="preserve">8-Bit-LVDS-FHD-Display (1920×1080)</w:t>
      </w:r>
    </w:p>
    <w:p>
      <w:pPr>
        <w:pStyle w:val="p2Style"/>
      </w:pPr>
      <w:r>
        <w:rPr>
          <w:rStyle w:val="textStyle"/>
        </w:rPr>
        <w:t xml:space="preserve">100 Hz Bildwiederholfrequenz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HDMI, VGA</w:t>
      </w:r>
    </w:p>
    <w:p>
      <w:pPr>
        <w:pStyle w:val="p2Style"/>
      </w:pPr>
      <w:r>
        <w:rPr>
          <w:rStyle w:val="textStyle"/>
        </w:rPr>
        <w:t xml:space="preserve">Blaues Licht reduziert zum Schutz der Augen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6936422151744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