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DS-2DF6C425IWG1-ELW(O-STD)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5-125mm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mit der Power-by-DarkFighter 2.0</w:t>
      </w:r>
    </w:p>
    <w:p>
      <w:pPr>
        <w:pStyle w:val="p2Style"/>
      </w:pPr>
      <w:r>
        <w:rPr>
          <w:rStyle w:val="textStyle"/>
        </w:rPr>
        <w:t xml:space="preserve">Klare Bilder bei starkem Gegenlicht dank 120 dB 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digitaler Zoom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Wasser- und staubdicht (IP67) und vandalismusgeschützt (IK10) ohne Glasfenster</w:t>
      </w:r>
    </w:p>
    <w:p>
      <w:pPr>
        <w:pStyle w:val="p2Style"/>
      </w:pPr>
      <w:r>
        <w:rPr>
          <w:rStyle w:val="textStyle"/>
        </w:rPr>
        <w:t xml:space="preserve">Unterstützt die Erfassung von Gesichtern zur Erkennung, Erfassung, Bewertung und Auswahl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57,7° - 2,9°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33,2°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2026-06-05T18:39:33+00:00</dcterms:created>
  <dcterms:modified xsi:type="dcterms:W3CDTF">2026-06-05T18:39:33+00:00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