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 1920x1080, 32x Zoom, 4,44-142,6mm IP67, IK10, Edelstahl,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Tag &amp; Nacht (Auto-ICR), WDR (120 dB)</w:t>
      </w:r>
    </w:p>
    <w:p>
      <w:pPr>
        <w:pStyle w:val="p2Style"/>
      </w:pPr>
      <w:r>
        <w:rPr>
          <w:rStyle w:val="textStyle"/>
        </w:rPr>
        <w:t xml:space="preserve">Schwenken/Neigen: 0,1˚/Sek. ~40˚/Sek.</w:t>
      </w:r>
    </w:p>
    <w:p>
      <w:pPr>
        <w:pStyle w:val="p2Style"/>
      </w:pPr>
      <w:r>
        <w:rPr>
          <w:rStyle w:val="textStyle"/>
        </w:rPr>
        <w:t xml:space="preserve">Endlose 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2026-10-15T14:29:22+00:00</dcterms:created>
  <dcterms:modified xsi:type="dcterms:W3CDTF">2026-10-15T14:29:22+00:00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