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SOL-MAST-STATIK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Statische Berechnung Kameramast inkl. Fundamentnachweis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Bei der Bestellung der Statikberechnung muss die Lieferadresse bzw. der Standort der Masten mitgeteilt werden.</w:t>
      </w:r>
    </w:p>
    <w:p>
      <w:pPr>
        <w:pStyle w:val="p2Style"/>
      </w:pPr>
      <w:r>
        <w:rPr>
          <w:rStyle w:val="textStyle"/>
        </w:rPr>
        <w:t xml:space="preserve">Teilen Sie uns ebenfalls die zu befestigenden Komponenten zur Berechnung des Fundaments mit.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2026-10-22T17:54:22+00:00</dcterms:created>
  <dcterms:modified xsi:type="dcterms:W3CDTF">2026-10-22T17:54:22+00:00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