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NDE-8704-RX-H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5,9-13mm, hydrophob, 1/1,2", IK11, IP66/IP67,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Starlight X und HDR X</w:t>
      </w:r>
    </w:p>
    <w:p>
      <w:pPr>
        <w:pStyle w:val="p2Style"/>
      </w:pPr>
      <w:r>
        <w:rPr>
          <w:rStyle w:val="textStyle"/>
        </w:rPr>
        <w:t xml:space="preserve">inkl. IVA Pro Building, IVA Pro Perimter, IVA Pro Privacy</w:t>
      </w:r>
    </w:p>
    <w:p>
      <w:pPr>
        <w:pStyle w:val="p2Style"/>
      </w:pPr>
      <w:r>
        <w:rPr>
          <w:rStyle w:val="textStyle"/>
        </w:rPr>
        <w:t xml:space="preserve">inkl. Camera Trainer Funktion</w:t>
      </w:r>
    </w:p>
    <w:p>
      <w:pPr>
        <w:pStyle w:val="p2Style"/>
      </w:pPr>
      <w:r>
        <w:rPr>
          <w:rStyle w:val="textStyle"/>
        </w:rPr>
        <w:t xml:space="preserve">Hydrophile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F.01U.434.418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VG4-SFPSCKT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Ethernet Medienkonverter Kit, für Bosch Autodomes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2026-06-05T21:07:14+00:00</dcterms:created>
  <dcterms:modified xsi:type="dcterms:W3CDTF">2026-06-05T21:07:14+00:00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