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NDE-8704-RX-H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5,9-13mm, hydrophob, 1/1,2", IK11, IP66/IP67,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X und HDR X</w:t>
      </w:r>
    </w:p>
    <w:p>
      <w:pPr>
        <w:pStyle w:val="p2Style"/>
      </w:pPr>
      <w:r>
        <w:rPr>
          <w:rStyle w:val="textStyle"/>
        </w:rPr>
        <w:t xml:space="preserve">inkl. IVA Pro Building, IVA Pro Perimter, IVA Pro Privacy</w:t>
      </w:r>
    </w:p>
    <w:p>
      <w:pPr>
        <w:pStyle w:val="p2Style"/>
      </w:pPr>
      <w:r>
        <w:rPr>
          <w:rStyle w:val="textStyle"/>
        </w:rPr>
        <w:t xml:space="preserve">inkl. Camera Trainer Funktion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2026-10-19T10:01:24+00:00</dcterms:created>
  <dcterms:modified xsi:type="dcterms:W3CDTF">2026-10-19T10:01:24+00:00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