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NDP-7802-Z40L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4,25-170mm,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Bildverarbeitungstechnologie und HDR</w:t>
      </w:r>
    </w:p>
    <w:p>
      <w:pPr>
        <w:pStyle w:val="p2Style"/>
      </w:pPr>
      <w:r>
        <w:rPr>
          <w:rStyle w:val="textStyle"/>
        </w:rPr>
        <w:t xml:space="preserve">detaillierte Informationen bei schwierigen Lichtverhältnissen</w:t>
      </w:r>
    </w:p>
    <w:p>
      <w:pPr>
        <w:pStyle w:val="p2Style"/>
      </w:pPr>
      <w:r>
        <w:rPr>
          <w:rStyle w:val="textStyle"/>
        </w:rPr>
        <w:t xml:space="preserve">Erfassungsreichweite des IR-Strahlers 300 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60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0,0067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66,35° - 1,9°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2026-07-21T09:34:34+00:00</dcterms:created>
  <dcterms:modified xsi:type="dcterms:W3CDTF">2026-07-21T09:34:34+00:00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