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Audio, externes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IPS-Panel</w:t>
      </w:r>
    </w:p>
    <w:p>
      <w:pPr>
        <w:pStyle w:val="p2Style"/>
      </w:pPr>
      <w:r>
        <w:rPr>
          <w:rStyle w:val="textStyle"/>
        </w:rPr>
        <w:t xml:space="preserve">Sehr schmale Rahmen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Integrierte duale 2W-Lautsprecher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textStyle"/>
        </w:rPr>
        <w:t xml:space="preserve">Kompatibel mit 100x100mm VESA-Halterung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2026-07-12T00:45:17+00:00</dcterms:created>
  <dcterms:modified xsi:type="dcterms:W3CDTF">2026-07-12T00:45:17+00:00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