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 für Hörgeräte,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Eingebaute Induktionsschleife</w:t>
      </w:r>
    </w:p>
    <w:p>
      <w:pPr>
        <w:pStyle w:val="p2Style"/>
      </w:pPr>
      <w:r>
        <w:rPr>
          <w:rStyle w:val="textStyle"/>
        </w:rPr>
        <w:t xml:space="preserve">Überträgt Tonfrequenzen an kompatibles Hörgerät</w:t>
      </w:r>
    </w:p>
    <w:p>
      <w:pPr>
        <w:pStyle w:val="p2Style"/>
      </w:pPr>
      <w:r>
        <w:rPr>
          <w:rStyle w:val="textStyle"/>
        </w:rPr>
        <w:t xml:space="preserve">Große Piktogramme für Nutzer mit Sehstörung</w:t>
      </w:r>
    </w:p>
    <w:p>
      <w:pPr>
        <w:pStyle w:val="p2Style"/>
      </w:pPr>
      <w:r>
        <w:rPr>
          <w:rStyle w:val="textStyle"/>
        </w:rPr>
        <w:t xml:space="preserve">Front: Kunststoff, schwarz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2026-09-15T12:07:14+00:00</dcterms:created>
  <dcterms:modified xsi:type="dcterms:W3CDTF">2026-09-15T12:07:14+00:00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