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NS3553-4P-1T-2S-V2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PoE-bt Switch managed, 4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10/100/1000Base-T RJ-45</w:t>
      </w:r>
    </w:p>
    <w:p>
      <w:pPr>
        <w:pStyle w:val="p2Style"/>
      </w:pPr>
      <w:r>
        <w:rPr>
          <w:rStyle w:val="textStyle"/>
        </w:rPr>
        <w:t xml:space="preserve">IEEE 802.3af/at /bt PoE (bis 95 W)</w:t>
      </w:r>
    </w:p>
    <w:p>
      <w:pPr>
        <w:pStyle w:val="p2Style"/>
      </w:pPr>
      <w:r>
        <w:rPr>
          <w:rStyle w:val="textStyle"/>
        </w:rPr>
        <w:t xml:space="preserve">1-Port 10/100/1000Base-T RJ-45 uplink</w:t>
      </w:r>
    </w:p>
    <w:p>
      <w:pPr>
        <w:pStyle w:val="p2Style"/>
      </w:pPr>
      <w:r>
        <w:rPr>
          <w:rStyle w:val="textStyle"/>
        </w:rPr>
        <w:t xml:space="preserve">2-Port 100/1000Base-X Mini-GBIC/SFP-Steckplätze,</w:t>
      </w:r>
    </w:p>
    <w:p>
      <w:pPr>
        <w:pStyle w:val="p2Style"/>
      </w:pPr>
      <w:r>
        <w:rPr>
          <w:rStyle w:val="textStyle"/>
        </w:rPr>
        <w:t xml:space="preserve">automatische Erkennung vom SFP-Typ mit DDM</w:t>
      </w:r>
    </w:p>
    <w:p>
      <w:pPr>
        <w:pStyle w:val="p2Style"/>
      </w:pPr>
      <w:r>
        <w:rPr>
          <w:rStyle w:val="textStyle"/>
        </w:rPr>
        <w:t xml:space="preserve">RS-232-Konsolenschnittstelle für Verw. und Einr.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NS3553-4P-1T-2S-V2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2026-10-13T11:56:18+00:00</dcterms:created>
  <dcterms:modified xsi:type="dcterms:W3CDTF">2026-10-13T11:56:18+00:00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