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S25-1MLC-A-2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1 Fiber, 100Base-FX, 2km, A-End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SFP-Multi-Source-Abkommen konform</w:t>
      </w:r>
    </w:p>
    <w:p>
      <w:pPr>
        <w:pStyle w:val="p2Style"/>
      </w:pPr>
      <w:r>
        <w:rPr>
          <w:rStyle w:val="textStyle"/>
        </w:rPr>
        <w:t xml:space="preserve">Maximale Datenrate 155 Mbits/s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1 Faser Multimode</w:t>
      </w:r>
    </w:p>
    <w:p>
      <w:pPr>
        <w:pStyle w:val="p2Style"/>
      </w:pPr>
      <w:r>
        <w:rPr>
          <w:rStyle w:val="textStyle"/>
        </w:rPr>
        <w:t xml:space="preserve">LC-Stecker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S25-1MLC-A-2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2026-10-13T11:56:17+00:00</dcterms:created>
  <dcterms:modified xsi:type="dcterms:W3CDTF">2026-10-13T11:56:17+00:00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