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TQ5301-E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Äußere Eckhalterung, für Axis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Ästhetisches Design</w:t>
      </w:r>
    </w:p>
    <w:p>
      <w:pPr>
        <w:pStyle w:val="p2Style"/>
      </w:pPr>
      <w:r>
        <w:rPr>
          <w:rStyle w:val="textStyle"/>
        </w:rPr>
        <w:t xml:space="preserve">Auf der linken oder rechten Seite montierbar</w:t>
      </w:r>
    </w:p>
    <w:p>
      <w:pPr>
        <w:pStyle w:val="p2Style"/>
      </w:pPr>
      <w:r>
        <w:rPr>
          <w:rStyle w:val="textStyle"/>
        </w:rPr>
        <w:t xml:space="preserve">Geräumiges Gehäuse für Anschlussgeräte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Außen- und Innenbereich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2026-06-05T18:41:11+00:00</dcterms:created>
  <dcterms:modified xsi:type="dcterms:W3CDTF">2026-06-05T18:41:11+00:00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