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D6310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Raumklima-Monitoring</w:t>
      </w:r>
    </w:p>
    <w:p>
      <w:pPr>
        <w:pStyle w:val="p2Style"/>
      </w:pPr>
      <w:r>
        <w:rPr>
          <w:rStyle w:val="textStyle"/>
        </w:rPr>
        <w:t xml:space="preserve">Echtzeit-Warnmeldungen</w:t>
      </w:r>
    </w:p>
    <w:p>
      <w:pPr>
        <w:pStyle w:val="p2Style"/>
      </w:pPr>
      <w:r>
        <w:rPr>
          <w:rStyle w:val="textStyle"/>
        </w:rPr>
        <w:t xml:space="preserve">Eigenständiges Gerät als Komplettlösung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Leichte Integration und einfacher Datenzugriff</w:t>
      </w:r>
    </w:p>
    <w:p>
      <w:pPr>
        <w:pStyle w:val="p2Style"/>
      </w:pPr>
      <w:r>
        <w:rPr>
          <w:rStyle w:val="textStyle"/>
        </w:rPr>
        <w:t xml:space="preserve">Visuelle Alarme und Zwei-Wege-Kommunikation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2026-08-15T21:58:26+00:00</dcterms:created>
  <dcterms:modified xsi:type="dcterms:W3CDTF">2026-08-15T21:58:26+00:00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