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Base RFID 125kHz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Kartenleser Modul, 125kHz, für 2N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Base</w:t>
      </w:r>
    </w:p>
    <w:p>
      <w:pPr>
        <w:pStyle w:val="p2Style"/>
      </w:pPr>
      <w:r>
        <w:rPr>
          <w:rStyle w:val="textStyle"/>
        </w:rPr>
        <w:t xml:space="preserve">RFID Cardreader (125 kHz) Modul</w:t>
      </w:r>
    </w:p>
    <w:p>
      <w:pPr>
        <w:pStyle w:val="p2Style"/>
      </w:pPr>
      <w:r>
        <w:rPr>
          <w:rStyle w:val="textStyle"/>
        </w:rPr>
        <w:t xml:space="preserve">Protokolle EM4100, EM4102, HID Proximity</w:t>
      </w:r>
    </w:p>
    <w:p>
      <w:pPr>
        <w:pStyle w:val="p2Style"/>
      </w:pPr>
      <w:r>
        <w:rPr>
          <w:rStyle w:val="textStyle"/>
        </w:rPr>
        <w:t xml:space="preserve">Platine zum Einbau in IP 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9156030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2026-05-31T06:57:15+00:00</dcterms:created>
  <dcterms:modified xsi:type="dcterms:W3CDTF">2026-05-31T06:57:15+00:00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