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RFID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125kHz, für 2N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Base</w:t>
      </w:r>
    </w:p>
    <w:p>
      <w:pPr>
        <w:pStyle w:val="p2Style"/>
      </w:pPr>
      <w:r>
        <w:rPr>
          <w:rStyle w:val="textStyle"/>
        </w:rPr>
        <w:t xml:space="preserve">RFID Cardreader (125 kHz) Modul</w:t>
      </w:r>
    </w:p>
    <w:p>
      <w:pPr>
        <w:pStyle w:val="p2Style"/>
      </w:pPr>
      <w:r>
        <w:rPr>
          <w:rStyle w:val="textStyle"/>
        </w:rPr>
        <w:t xml:space="preserve">Protokolle EM4100, EM4102, HID Proximity</w:t>
      </w:r>
    </w:p>
    <w:p>
      <w:pPr>
        <w:pStyle w:val="p2Style"/>
      </w:pPr>
      <w:r>
        <w:rPr>
          <w:rStyle w:val="textStyle"/>
        </w:rPr>
        <w:t xml:space="preserve">Platine zum Einbau in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2026-10-13T16:43:59+00:00</dcterms:created>
  <dcterms:modified xsi:type="dcterms:W3CDTF">2026-10-13T16:43:59+00:00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