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RFID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Base</w:t>
      </w:r>
    </w:p>
    <w:p>
      <w:pPr>
        <w:pStyle w:val="p2Style"/>
      </w:pPr>
      <w:r>
        <w:rPr>
          <w:rStyle w:val="textStyle"/>
        </w:rPr>
        <w:t xml:space="preserve">RFID Cardreader (125 kHz) Modul</w:t>
      </w:r>
    </w:p>
    <w:p>
      <w:pPr>
        <w:pStyle w:val="p2Style"/>
      </w:pPr>
      <w:r>
        <w:rPr>
          <w:rStyle w:val="textStyle"/>
        </w:rPr>
        <w:t xml:space="preserve">Protokolle EM4100, EM4102, HID Proximity</w:t>
      </w:r>
    </w:p>
    <w:p>
      <w:pPr>
        <w:pStyle w:val="p2Style"/>
      </w:pPr>
      <w:r>
        <w:rPr>
          <w:rStyle w:val="textStyle"/>
        </w:rPr>
        <w:t xml:space="preserve">Platine zum Einbau in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2026-07-15T11:09:32+00:00</dcterms:created>
  <dcterms:modified xsi:type="dcterms:W3CDTF">2026-07-15T11:09:32+00:00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