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CNG6F2T4MPB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managed, 4x RJ45 Gbit, 2x Gbps SFP Ports, 90W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6-Port L2+ Industrial Managed Switch</w:t>
      </w:r>
    </w:p>
    <w:p>
      <w:pPr>
        <w:pStyle w:val="p2Style"/>
      </w:pPr>
      <w:r>
        <w:rPr>
          <w:rStyle w:val="textStyle"/>
        </w:rPr>
        <w:t xml:space="preserve">4x 10/100/1000Base-TX (802.3bt Typ 4, 90W)</w:t>
      </w:r>
    </w:p>
    <w:p>
      <w:pPr>
        <w:pStyle w:val="p2Style"/>
      </w:pPr>
      <w:r>
        <w:rPr>
          <w:rStyle w:val="textStyle"/>
        </w:rPr>
        <w:t xml:space="preserve">2x 1Gbps SFP-Ports</w:t>
      </w:r>
    </w:p>
    <w:p>
      <w:pPr>
        <w:pStyle w:val="p2Style"/>
      </w:pPr>
      <w:r>
        <w:rPr>
          <w:rStyle w:val="textStyle"/>
        </w:rPr>
        <w:t xml:space="preserve">360W PoE-Budget</w:t>
      </w:r>
    </w:p>
    <w:p>
      <w:pPr>
        <w:pStyle w:val="p2Style"/>
      </w:pPr>
      <w:r>
        <w:rPr>
          <w:rStyle w:val="textStyle"/>
        </w:rPr>
        <w:t xml:space="preserve">lebenslange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 Part 15 Class A EN55011,EN55032,EN61000-6-4 EN61000-4-x (ESD,Surge,Burst etc.) IEC60068 (Shock,Vibration,Free Fall) MTBF &gt;100.000 Stunden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CNG6F2T4MPB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CNG-Serie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2026-07-15T06:09:01+00:00</dcterms:created>
  <dcterms:modified xsi:type="dcterms:W3CDTF">2026-07-15T06:09:01+00:00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