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iDS-2CD5T47G2/V-XHSY(2.8mm)(O-STD)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DeepinViewX, DarkFighter 2.0,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2.0 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Integrierte Heizung für klare Bilder bei Regen oder Schnee</w:t>
      </w:r>
    </w:p>
    <w:p>
      <w:pPr>
        <w:pStyle w:val="p2Style"/>
      </w:pPr>
      <w:r>
        <w:rPr>
          <w:rStyle w:val="textStyle"/>
        </w:rPr>
        <w:t xml:space="preserve">Spezielles KI-Modell für den Perimeterschutz, reduziert Fehlalarme um 90 % im Vergleich zu herkömmlichen KI-Kameras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CE,CB,RoHS,WEEE,Reach,NEMA 4X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0.0014 Lux @ (F1.0,AGC ON),S/W: 0.0005 Lux @ (F1.0,AGC ON),0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6936422148959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2026-07-21T10:26:31+00:00</dcterms:created>
  <dcterms:modified xsi:type="dcterms:W3CDTF">2026-07-21T10:26:31+00:00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