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iDS-2CD7547G2/P-XZHSY(2.8-12mm)(O-STD)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2,8-12mm, DeepinViewX, DarkFighter 2.0, LPR,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2560 × 1440, 4 MP @ 60FPS / 2 MP @ 120FPS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2.0 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140 dB WDR-Technologie</w:t>
      </w:r>
    </w:p>
    <w:p>
      <w:pPr>
        <w:pStyle w:val="p2Style"/>
      </w:pPr>
      <w:r>
        <w:rPr>
          <w:rStyle w:val="textStyle"/>
        </w:rPr>
        <w:t xml:space="preserve">H.265/H.265+</w:t>
      </w:r>
    </w:p>
    <w:p>
      <w:pPr>
        <w:pStyle w:val="p2Style"/>
      </w:pPr>
      <w:r>
        <w:rPr>
          <w:rStyle w:val="textStyle"/>
        </w:rPr>
        <w:t xml:space="preserve">Integrierter G-Sensor zur Erfassung von Vibrationen</w:t>
      </w:r>
    </w:p>
    <w:p>
      <w:pPr>
        <w:pStyle w:val="p2Style"/>
      </w:pPr>
      <w:r>
        <w:rPr>
          <w:rStyle w:val="textStyle"/>
        </w:rPr>
        <w:t xml:space="preserve">Einzigartige PTRZ-Funktion für eine effiziente Installation und Wartung</w:t>
      </w:r>
    </w:p>
    <w:p>
      <w:pPr>
        <w:pStyle w:val="p2Style"/>
      </w:pPr>
      <w:r>
        <w:rPr>
          <w:rStyle w:val="textStyle"/>
        </w:rPr>
        <w:t xml:space="preserve">Kennzeichenerkennung und Fahrzeugzuordnung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Sehr hoch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104.2° bis 44.1°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55.3° bis 24.8°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2.8\u201312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6936422154158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2026-07-21T08:42:10+00:00</dcterms:created>
  <dcterms:modified xsi:type="dcterms:W3CDTF">2026-07-21T08:42:10+00:00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