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PB3701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37" (94cm) Stretched Display, 1920x540, 32:9, 700cd/qm, Anti-Burn-In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1920x540</w:t>
      </w:r>
    </w:p>
    <w:p>
      <w:pPr>
        <w:pStyle w:val="p2Style"/>
      </w:pPr>
      <w:r>
        <w:rPr>
          <w:rStyle w:val="textStyle"/>
        </w:rPr>
        <w:t xml:space="preserve">Native 37” Ultra-Weitwinkelanzeige</w:t>
      </w:r>
    </w:p>
    <w:p>
      <w:pPr>
        <w:pStyle w:val="p2Style"/>
      </w:pPr>
      <w:r>
        <w:rPr>
          <w:rStyle w:val="textStyle"/>
        </w:rPr>
        <w:t xml:space="preserve">Seitenverhältnis 32:9</w:t>
      </w:r>
    </w:p>
    <w:p>
      <w:pPr>
        <w:pStyle w:val="p2Style"/>
      </w:pPr>
      <w:r>
        <w:rPr>
          <w:rStyle w:val="textStyle"/>
        </w:rPr>
        <w:t xml:space="preserve">700 Nits hohe Helligkeit</w:t>
      </w:r>
    </w:p>
    <w:p>
      <w:pPr>
        <w:pStyle w:val="p2Style"/>
      </w:pPr>
      <w:r>
        <w:rPr>
          <w:rStyle w:val="textStyle"/>
        </w:rPr>
        <w:t xml:space="preserve">Entspiegelter Bildschirm</w:t>
      </w:r>
    </w:p>
    <w:p>
      <w:pPr>
        <w:pStyle w:val="p2Style"/>
      </w:pPr>
      <w:r>
        <w:rPr>
          <w:rStyle w:val="textStyle"/>
        </w:rPr>
        <w:t xml:space="preserve">Klare Sicht in hellen Innenräumen</w:t>
      </w:r>
    </w:p>
    <w:p>
      <w:pPr>
        <w:pStyle w:val="p2Style"/>
      </w:pPr>
      <w:r>
        <w:rPr>
          <w:rStyle w:val="textStyle"/>
        </w:rPr>
        <w:t xml:space="preserve">Unterstützt sowohl Quer- als auch Hochformat</w:t>
      </w:r>
    </w:p>
    <w:p>
      <w:pPr>
        <w:pStyle w:val="p2Style"/>
      </w:pPr>
      <w:r>
        <w:rPr>
          <w:rStyle w:val="textStyle"/>
        </w:rPr>
        <w:t xml:space="preserve">Anti-Burn-in Technologie verhindert Geisterbilder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PB371011E0000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