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Q3839-PVE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7552x3776, 180°/90°, 4x8,3MP,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180°-Sicht, keine toten Winkel, 29 MP</w:t>
      </w:r>
    </w:p>
    <w:p>
      <w:pPr>
        <w:pStyle w:val="p2Style"/>
      </w:pPr>
      <w:r>
        <w:rPr>
          <w:rStyle w:val="textStyle"/>
        </w:rPr>
        <w:t xml:space="preserve">8K-Multisensorkamera mit einer IP-Adresse</w:t>
      </w:r>
    </w:p>
    <w:p>
      <w:pPr>
        <w:pStyle w:val="p2Style"/>
      </w:pPr>
      <w:r>
        <w:rPr>
          <w:rStyle w:val="textStyle"/>
        </w:rPr>
        <w:t xml:space="preserve">180° horizontale, 90° vertikale Abdeckung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30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7552x3776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Kameras der AXIS Q38- und Q48-Serie,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AXIS Q3839-PVE und Q4809-PVE,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TQ3815-E COVER WEATHERSHI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Q3839-PVE und AXIS Q4809-PVE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TQ3816-E COVER TOP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TQ3903-E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Kameras der Serien AXIS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2026-08-23T18:48:20+00:00</dcterms:created>
  <dcterms:modified xsi:type="dcterms:W3CDTF">2026-08-23T18:48:20+00:00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