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D3110 MK II CONNECTIVITY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sichere Sensor- und Audiointegration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Acht überwachte konfigurierbare I/Os</w:t>
      </w:r>
    </w:p>
    <w:p>
      <w:pPr>
        <w:pStyle w:val="p2Style"/>
      </w:pPr>
      <w:r>
        <w:rPr>
          <w:rStyle w:val="textStyle"/>
        </w:rPr>
        <w:t xml:space="preserve">Zwei Audioeingänge, ein Audioausgang</w:t>
      </w:r>
    </w:p>
    <w:p>
      <w:pPr>
        <w:pStyle w:val="p2Style"/>
      </w:pPr>
      <w:r>
        <w:rPr>
          <w:rStyle w:val="textStyle"/>
        </w:rPr>
        <w:t xml:space="preserve">VAPIX®-, MQTT- und SIP-Integration</w:t>
      </w:r>
    </w:p>
    <w:p>
      <w:pPr>
        <w:pStyle w:val="p2Style"/>
      </w:pPr>
      <w:r>
        <w:rPr>
          <w:rStyle w:val="textStyle"/>
        </w:rPr>
        <w:t xml:space="preserve">ACAP- und Container-Unterstützung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TD3901 STRAIN RELIEF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Zugentlastung, für AXIS D3110 Connectivity Hub,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Kit für AXIS D3110 Connectivity 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2026-07-14T23:43:14+00:00</dcterms:created>
  <dcterms:modified xsi:type="dcterms:W3CDTF">2026-07-14T23:43:14+00:00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