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D3110 MK II CONNECTIVITY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sichere Sensor- und Audiointegration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Acht überwachte konfigurierbare I/Os</w:t>
      </w:r>
    </w:p>
    <w:p>
      <w:pPr>
        <w:pStyle w:val="p2Style"/>
      </w:pPr>
      <w:r>
        <w:rPr>
          <w:rStyle w:val="textStyle"/>
        </w:rPr>
        <w:t xml:space="preserve">Zwei Audioeingänge, ein Audioausgang</w:t>
      </w:r>
    </w:p>
    <w:p>
      <w:pPr>
        <w:pStyle w:val="p2Style"/>
      </w:pPr>
      <w:r>
        <w:rPr>
          <w:rStyle w:val="textStyle"/>
        </w:rPr>
        <w:t xml:space="preserve">VAPIX®-, MQTT- und SIP-Integration</w:t>
      </w:r>
    </w:p>
    <w:p>
      <w:pPr>
        <w:pStyle w:val="p2Style"/>
      </w:pPr>
      <w:r>
        <w:rPr>
          <w:rStyle w:val="textStyle"/>
        </w:rPr>
        <w:t xml:space="preserve">ACAP- und Container-Unterstützung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TD3901 STRAIN RELIEF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Zugentlastung, für AXIS D3110 Connectivity Hub,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TD3902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Kit für AXIS D3110 Connectivity 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2026-10-13T11:55:56+00:00</dcterms:created>
  <dcterms:modified xsi:type="dcterms:W3CDTF">2026-10-13T11:55:56+00:00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