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TI5602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Tischgehäuse,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Einheitsgröße</w:t>
      </w:r>
    </w:p>
    <w:p>
      <w:pPr>
        <w:pStyle w:val="p2Style"/>
      </w:pPr>
      <w:r>
        <w:rPr>
          <w:rStyle w:val="textStyle"/>
        </w:rPr>
        <w:t xml:space="preserve">Rutschfeste Schicht sorgt für Stabilität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