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NSFP-20000DLC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1,25Gbps, 20KM Reichweite, Duplex LC, Tx/Rx bei 1310nm, Hot-Plug, SFP MSA-konform, Digital Monitoring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1250 Mbps Datenrate auf 9/125 µm SMF</w:t>
      </w:r>
    </w:p>
    <w:p>
      <w:pPr>
        <w:pStyle w:val="p2Style"/>
      </w:pPr>
      <w:r>
        <w:rPr>
          <w:rStyle w:val="textStyle"/>
        </w:rPr>
        <w:t xml:space="preserve">Dual-Faser-Design (getrennte Sende-/Empfangsfasern)</w:t>
      </w:r>
    </w:p>
    <w:p>
      <w:pPr>
        <w:pStyle w:val="p2Style"/>
      </w:pPr>
      <w:r>
        <w:rPr>
          <w:rStyle w:val="textStyle"/>
        </w:rPr>
        <w:t xml:space="preserve">Bis zu 20 km Reichweite (Single Mode)</w:t>
      </w:r>
    </w:p>
    <w:p>
      <w:pPr>
        <w:pStyle w:val="p2Style"/>
      </w:pPr>
      <w:r>
        <w:rPr>
          <w:rStyle w:val="textStyle"/>
        </w:rPr>
        <w:t xml:space="preserve">LC-Anschluss</w:t>
      </w:r>
    </w:p>
    <w:p>
      <w:pPr>
        <w:pStyle w:val="p2Style"/>
      </w:pPr>
      <w:r>
        <w:rPr>
          <w:rStyle w:val="textStyle"/>
        </w:rPr>
        <w:t xml:space="preserve">Unterstützt SFP MSA und SFF-8472</w:t>
      </w:r>
    </w:p>
    <w:p>
      <w:pPr>
        <w:pStyle w:val="p2Style"/>
      </w:pPr>
      <w:r>
        <w:rPr>
          <w:rStyle w:val="textStyle"/>
        </w:rPr>
        <w:t xml:space="preserve">Digitale Diagnoseüberwachung integriert (DDM)</w:t>
      </w:r>
    </w:p>
    <w:p>
      <w:pPr>
        <w:pStyle w:val="p2Style"/>
      </w:pPr>
      <w:r>
        <w:rPr>
          <w:rStyle w:val="textStyle"/>
        </w:rPr>
        <w:t xml:space="preserve">Großer Temperaturbereich: -40°C bis +85°C (Industrie)</w:t>
      </w:r>
    </w:p>
    <w:p>
      <w:pPr>
        <w:pStyle w:val="p2Style"/>
      </w:pPr>
      <w:r>
        <w:rPr>
          <w:rStyle w:val="textStyle"/>
        </w:rPr>
        <w:t xml:space="preserve">Einfache 3,3V-Stromversorgung</w:t>
      </w:r>
    </w:p>
    <w:p>
      <w:pPr>
        <w:pStyle w:val="p2Style"/>
      </w:pPr>
      <w:r>
        <w:rPr>
          <w:rStyle w:val="textStyle"/>
        </w:rPr>
        <w:t xml:space="preserve">Metallgehäuse für geringe elektromag. Störung</w:t>
      </w:r>
    </w:p>
    <w:p>
      <w:pPr>
        <w:pStyle w:val="p2Style"/>
      </w:pPr>
      <w:r>
        <w:rPr>
          <w:rStyle w:val="textStyle"/>
        </w:rPr>
        <w:t xml:space="preserve">Verlustsignal- und TX-Fehlersignalüberwachung</w:t>
      </w:r>
    </w:p>
    <w:p>
      <w:pPr>
        <w:pStyle w:val="p2Style"/>
      </w:pPr>
      <w:r>
        <w:rPr>
          <w:rStyle w:val="textStyle"/>
        </w:rPr>
        <w:t xml:space="preserve">Geringe Leistungsaufnahme (&lt; 300 mA)</w:t>
      </w:r>
    </w:p>
    <w:p>
      <w:pPr>
        <w:pStyle w:val="p2Style"/>
      </w:pPr>
      <w:r>
        <w:rPr>
          <w:rStyle w:val="textStyle"/>
        </w:rPr>
        <w:t xml:space="preserve">RoHS-konform, bleifrei gefertigt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14,2x12,5x56,3mm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2026-08-01T18:47:15+00:00</dcterms:created>
  <dcterms:modified xsi:type="dcterms:W3CDTF">2026-08-01T18:47:15+00:00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