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SC,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Einfaserbetrieb (1310/1550 nm)</w:t>
      </w:r>
    </w:p>
    <w:p>
      <w:pPr>
        <w:pStyle w:val="p2Style"/>
      </w:pPr>
      <w:r>
        <w:rPr>
          <w:rStyle w:val="textStyle"/>
        </w:rPr>
        <w:t xml:space="preserve">Bis zu 20 km Reichweite auf 9/125 μm SMF</w:t>
      </w:r>
    </w:p>
    <w:p>
      <w:pPr>
        <w:pStyle w:val="p2Style"/>
      </w:pPr>
      <w:r>
        <w:rPr>
          <w:rStyle w:val="textStyle"/>
        </w:rPr>
        <w:t xml:space="preserve">Optischer SC-Stecker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2026-09-16T08:04:25+00:00</dcterms:created>
  <dcterms:modified xsi:type="dcterms:W3CDTF">2026-09-16T08:04:25+00:00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