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Einfaserbetrieb (1310/1550 nm)</w:t>
      </w:r>
    </w:p>
    <w:p>
      <w:pPr>
        <w:pStyle w:val="p2Style"/>
      </w:pPr>
      <w:r>
        <w:rPr>
          <w:rStyle w:val="textStyle"/>
        </w:rPr>
        <w:t xml:space="preserve">Bis zu 20 km Reichweite auf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2026-08-01T23:11:36+00:00</dcterms:created>
  <dcterms:modified xsi:type="dcterms:W3CDTF">2026-08-01T23:11:36+00:00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