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NSMR-2016M0A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Rack, Managed, 16x PoE, 2xSFP, max. 30W pro Port, internes Netzteil max. 250W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RJ45-Ports mit 10/100/1000 Mbps</w:t>
      </w:r>
    </w:p>
    <w:p>
      <w:pPr>
        <w:pStyle w:val="p2Style"/>
      </w:pPr>
      <w:r>
        <w:rPr>
          <w:rStyle w:val="textStyle"/>
        </w:rPr>
        <w:t xml:space="preserve">2 Gigabit-SFP-Ports für Glasfaser-Uplink</w:t>
      </w:r>
    </w:p>
    <w:p>
      <w:pPr>
        <w:pStyle w:val="p2Style"/>
      </w:pPr>
      <w:r>
        <w:rPr>
          <w:rStyle w:val="textStyle"/>
        </w:rPr>
        <w:t xml:space="preserve">16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225 Watt</w:t>
      </w:r>
    </w:p>
    <w:p>
      <w:pPr>
        <w:pStyle w:val="p2Style"/>
      </w:pPr>
      <w:r>
        <w:rPr>
          <w:rStyle w:val="textStyle"/>
        </w:rPr>
        <w:t xml:space="preserve">Unterstützt IEEE 802.3af/at/az Standards</w:t>
      </w:r>
    </w:p>
    <w:p>
      <w:pPr>
        <w:pStyle w:val="p2Style"/>
      </w:pPr>
      <w:r>
        <w:rPr>
          <w:rStyle w:val="textStyle"/>
        </w:rPr>
        <w:t xml:space="preserve">Unterstützt automatisches Lernen und Altern von MAC-Adressen</w:t>
      </w:r>
    </w:p>
    <w:p>
      <w:pPr>
        <w:pStyle w:val="p2Style"/>
      </w:pPr>
      <w:r>
        <w:rPr>
          <w:rStyle w:val="textStyle"/>
        </w:rPr>
        <w:t xml:space="preserve">Unterstützt QoS, Port-Spiegelung, Link-Aggregations-Protokoll</w:t>
      </w:r>
    </w:p>
    <w:p>
      <w:pPr>
        <w:pStyle w:val="p2Style"/>
      </w:pPr>
      <w:r>
        <w:rPr>
          <w:rStyle w:val="textStyle"/>
        </w:rPr>
        <w:t xml:space="preserve">PoE-Watchdog erkennt &amp; startet PD-Geräte automatisch</w:t>
      </w:r>
    </w:p>
    <w:p>
      <w:pPr>
        <w:pStyle w:val="p2Style"/>
      </w:pPr>
      <w:r>
        <w:rPr>
          <w:rStyle w:val="textStyle"/>
        </w:rPr>
        <w:t xml:space="preserve">Unterstützt energieeffizientes Ethernet (802.3az)</w:t>
      </w:r>
    </w:p>
    <w:p>
      <w:pPr>
        <w:pStyle w:val="p2Style"/>
      </w:pPr>
      <w:r>
        <w:rPr>
          <w:rStyle w:val="textStyle"/>
        </w:rPr>
        <w:t xml:space="preserve">Robustes 19"-Metallgehäuse, 440×190×45 mm</w:t>
      </w:r>
    </w:p>
    <w:p>
      <w:pPr>
        <w:pStyle w:val="p2Style"/>
      </w:pPr>
      <w:r>
        <w:rPr>
          <w:rStyle w:val="textStyle"/>
        </w:rPr>
        <w:t xml:space="preserve">Betriebstemperaturbereich: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44,5x440x180mm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2026-08-17T16:56:27+00:00</dcterms:created>
  <dcterms:modified xsi:type="dcterms:W3CDTF">2026-08-17T16:56:27+00:00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